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40" w:lineRule="exact"/>
        <w:jc w:val="center"/>
        <w:rPr>
          <w:rFonts w:hint="eastAsia" w:ascii="Times New Roman" w:hAnsi="Times New Roman" w:eastAsia="方正小标宋简体"/>
          <w:color w:val="000000"/>
          <w:sz w:val="32"/>
          <w:szCs w:val="32"/>
        </w:rPr>
      </w:pPr>
      <w:r>
        <w:rPr>
          <w:rFonts w:hint="eastAsia" w:ascii="Times New Roman" w:hAnsi="Times New Roman" w:eastAsia="方正小标宋简体"/>
          <w:color w:val="000000"/>
          <w:sz w:val="32"/>
          <w:szCs w:val="32"/>
        </w:rPr>
        <w:t>发动机润滑油</w:t>
      </w:r>
      <w:r>
        <w:rPr>
          <w:rFonts w:ascii="Times New Roman" w:hAnsi="Times New Roman" w:eastAsia="方正小标宋简体"/>
          <w:color w:val="000000"/>
          <w:sz w:val="32"/>
          <w:szCs w:val="32"/>
        </w:rPr>
        <w:t>产品质量国家监督抽查实施细则</w:t>
      </w:r>
    </w:p>
    <w:p>
      <w:pPr>
        <w:spacing w:line="440" w:lineRule="exact"/>
        <w:jc w:val="center"/>
        <w:rPr>
          <w:rFonts w:hint="eastAsia" w:ascii="Times New Roman" w:hAnsi="Times New Roman" w:eastAsia="方正小标宋简体"/>
          <w:color w:val="000000"/>
          <w:sz w:val="32"/>
          <w:szCs w:val="32"/>
        </w:rPr>
      </w:pPr>
      <w:r>
        <w:rPr>
          <w:rFonts w:hint="eastAsia" w:ascii="Times New Roman" w:hAnsi="Times New Roman" w:eastAsia="方正小标宋简体"/>
          <w:color w:val="000000"/>
          <w:sz w:val="32"/>
          <w:szCs w:val="32"/>
        </w:rPr>
        <w:t>（2021年版）</w:t>
      </w:r>
    </w:p>
    <w:p>
      <w:pPr>
        <w:spacing w:line="440" w:lineRule="exact"/>
        <w:jc w:val="center"/>
        <w:rPr>
          <w:rFonts w:hint="eastAsia" w:ascii="Times New Roman" w:hAnsi="Times New Roman" w:eastAsia="方正小标宋简体"/>
          <w:color w:val="000000"/>
          <w:sz w:val="32"/>
          <w:szCs w:val="32"/>
        </w:rPr>
      </w:pPr>
      <w:r>
        <w:rPr>
          <w:rFonts w:hint="eastAsia" w:ascii="Times New Roman" w:hAnsi="Times New Roman" w:eastAsia="方正小标宋简体"/>
          <w:color w:val="000000"/>
          <w:sz w:val="32"/>
          <w:szCs w:val="32"/>
        </w:rPr>
        <w:t>（征求意见稿）</w:t>
      </w:r>
    </w:p>
    <w:p>
      <w:pPr>
        <w:spacing w:line="440" w:lineRule="exact"/>
        <w:ind w:firstLine="359" w:firstLineChars="171"/>
        <w:rPr>
          <w:rFonts w:ascii="Times New Roman" w:hAnsi="Times New Roman"/>
          <w:color w:val="000000"/>
          <w:szCs w:val="21"/>
        </w:rPr>
      </w:pPr>
    </w:p>
    <w:p>
      <w:pPr>
        <w:spacing w:line="440" w:lineRule="exact"/>
        <w:rPr>
          <w:rFonts w:ascii="Times New Roman" w:hAnsi="Times New Roman" w:eastAsia="黑体"/>
          <w:color w:val="000000"/>
          <w:szCs w:val="21"/>
        </w:rPr>
      </w:pPr>
      <w:r>
        <w:rPr>
          <w:rFonts w:ascii="Times New Roman" w:hAnsi="Times New Roman" w:eastAsia="黑体"/>
          <w:color w:val="000000"/>
          <w:szCs w:val="21"/>
        </w:rPr>
        <w:t>1 抽样方法</w:t>
      </w:r>
    </w:p>
    <w:p>
      <w:pPr>
        <w:spacing w:line="440" w:lineRule="exact"/>
        <w:ind w:firstLine="420" w:firstLineChars="200"/>
        <w:rPr>
          <w:rFonts w:ascii="Times New Roman" w:hAnsi="Times New Roman" w:eastAsia="宋体" w:cs="宋体"/>
          <w:color w:val="000000"/>
          <w:szCs w:val="21"/>
        </w:rPr>
      </w:pPr>
      <w:r>
        <w:rPr>
          <w:rFonts w:hint="eastAsia" w:ascii="Times New Roman" w:hAnsi="Times New Roman" w:eastAsia="宋体" w:cs="宋体"/>
          <w:color w:val="000000"/>
          <w:szCs w:val="21"/>
        </w:rPr>
        <w:t>以随机抽样的方式在被抽样生产者、销售者的待销产品中抽取。</w:t>
      </w:r>
    </w:p>
    <w:p>
      <w:pPr>
        <w:spacing w:line="440" w:lineRule="exact"/>
        <w:ind w:firstLine="420" w:firstLineChars="200"/>
        <w:rPr>
          <w:rFonts w:ascii="Times New Roman" w:hAnsi="Times New Roman" w:eastAsia="宋体" w:cs="宋体"/>
          <w:color w:val="000000"/>
          <w:szCs w:val="21"/>
        </w:rPr>
      </w:pPr>
      <w:r>
        <w:rPr>
          <w:rFonts w:hint="eastAsia" w:ascii="Times New Roman" w:hAnsi="Times New Roman" w:eastAsia="宋体" w:cs="宋体"/>
          <w:color w:val="000000"/>
          <w:szCs w:val="21"/>
        </w:rPr>
        <w:t>随机数一般可使用随机数表等方法产生。</w:t>
      </w:r>
    </w:p>
    <w:p>
      <w:pPr>
        <w:spacing w:line="440" w:lineRule="exact"/>
        <w:ind w:firstLine="420" w:firstLineChars="200"/>
        <w:rPr>
          <w:rFonts w:ascii="Times New Roman" w:hAnsi="Times New Roman" w:eastAsia="宋体" w:cs="宋体"/>
          <w:color w:val="000000"/>
          <w:szCs w:val="21"/>
        </w:rPr>
      </w:pPr>
      <w:r>
        <w:rPr>
          <w:rFonts w:hint="eastAsia" w:ascii="Times New Roman" w:hAnsi="Times New Roman" w:eastAsia="宋体" w:cs="宋体"/>
          <w:color w:val="000000"/>
          <w:szCs w:val="21"/>
        </w:rPr>
        <w:t>每批次产品抽取不少于2个独立包装，总量不少于6升的样品，</w:t>
      </w:r>
      <w:r>
        <w:rPr>
          <w:rFonts w:hint="eastAsia" w:ascii="Times New Roman" w:hAnsi="Times New Roman" w:eastAsia="宋体" w:cs="宋体"/>
          <w:color w:val="000000"/>
          <w:szCs w:val="21"/>
          <w:lang w:val="en-US" w:eastAsia="zh-CN"/>
        </w:rPr>
        <w:t>其中</w:t>
      </w:r>
      <w:r>
        <w:rPr>
          <w:rFonts w:hint="eastAsia" w:ascii="Times New Roman" w:hAnsi="Times New Roman" w:eastAsia="宋体" w:cs="宋体"/>
          <w:color w:val="000000"/>
          <w:szCs w:val="21"/>
        </w:rPr>
        <w:t>检验样品不少于3升，备用样品不少于3升；当产品独立包装＞</w:t>
      </w:r>
      <w:r>
        <w:rPr>
          <w:rFonts w:ascii="Times New Roman" w:hAnsi="Times New Roman" w:eastAsia="宋体" w:cs="宋体"/>
          <w:color w:val="000000"/>
          <w:szCs w:val="21"/>
        </w:rPr>
        <w:t>20升或在成品罐抽样时，应按GB/T 4756-2015《石油液体手工取样法》取样，抽取</w:t>
      </w:r>
      <w:r>
        <w:rPr>
          <w:rFonts w:hint="eastAsia" w:ascii="Times New Roman" w:hAnsi="Times New Roman" w:eastAsia="宋体" w:cs="宋体"/>
          <w:color w:val="000000"/>
          <w:szCs w:val="21"/>
        </w:rPr>
        <w:t>不少于</w:t>
      </w:r>
      <w:r>
        <w:rPr>
          <w:rFonts w:ascii="Times New Roman" w:hAnsi="Times New Roman" w:eastAsia="宋体" w:cs="宋体"/>
          <w:color w:val="000000"/>
          <w:szCs w:val="21"/>
        </w:rPr>
        <w:t>6升样品，平均分为2组，其中1组为检验样品，另1组为备用样品。</w:t>
      </w:r>
    </w:p>
    <w:p>
      <w:pPr>
        <w:spacing w:line="440" w:lineRule="exact"/>
        <w:rPr>
          <w:rFonts w:ascii="Times New Roman" w:hAnsi="Times New Roman" w:eastAsia="黑体"/>
          <w:color w:val="000000"/>
          <w:szCs w:val="21"/>
        </w:rPr>
      </w:pPr>
    </w:p>
    <w:p>
      <w:pPr>
        <w:spacing w:line="440" w:lineRule="exact"/>
        <w:rPr>
          <w:rFonts w:ascii="Times New Roman" w:hAnsi="Times New Roman" w:eastAsia="黑体"/>
          <w:color w:val="000000"/>
          <w:szCs w:val="21"/>
        </w:rPr>
      </w:pPr>
      <w:r>
        <w:rPr>
          <w:rFonts w:ascii="Times New Roman" w:hAnsi="Times New Roman" w:eastAsia="黑体"/>
          <w:color w:val="000000"/>
          <w:szCs w:val="21"/>
        </w:rPr>
        <w:t>2 检验依据</w:t>
      </w:r>
    </w:p>
    <w:p>
      <w:pPr>
        <w:spacing w:line="440" w:lineRule="exact"/>
        <w:rPr>
          <w:rFonts w:ascii="Times New Roman" w:hAnsi="Times New Roman" w:eastAsia="黑体"/>
          <w:color w:val="000000"/>
          <w:szCs w:val="21"/>
        </w:rPr>
      </w:pPr>
    </w:p>
    <w:tbl>
      <w:tblPr>
        <w:tblStyle w:val="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8"/>
        <w:gridCol w:w="4384"/>
        <w:gridCol w:w="3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ascii="Times New Roman" w:hAnsi="Times New Roman" w:eastAsia="宋体"/>
                <w:szCs w:val="21"/>
              </w:rPr>
              <w:t>序号</w:t>
            </w:r>
          </w:p>
        </w:tc>
        <w:tc>
          <w:tcPr>
            <w:tcW w:w="2390" w:type="pct"/>
            <w:vAlign w:val="center"/>
          </w:tcPr>
          <w:p>
            <w:pPr>
              <w:jc w:val="center"/>
              <w:rPr>
                <w:rFonts w:ascii="Times New Roman" w:hAnsi="Times New Roman" w:eastAsia="宋体"/>
                <w:szCs w:val="21"/>
              </w:rPr>
            </w:pPr>
            <w:r>
              <w:rPr>
                <w:rFonts w:ascii="Times New Roman" w:hAnsi="Times New Roman" w:eastAsia="宋体"/>
                <w:szCs w:val="21"/>
              </w:rPr>
              <w:t>检验项目</w:t>
            </w:r>
          </w:p>
        </w:tc>
        <w:tc>
          <w:tcPr>
            <w:tcW w:w="2032" w:type="pct"/>
            <w:vAlign w:val="center"/>
          </w:tcPr>
          <w:p>
            <w:pPr>
              <w:jc w:val="center"/>
              <w:rPr>
                <w:rFonts w:ascii="Times New Roman" w:hAnsi="Times New Roman" w:eastAsia="宋体"/>
                <w:szCs w:val="21"/>
              </w:rPr>
            </w:pPr>
            <w:r>
              <w:rPr>
                <w:rFonts w:ascii="Times New Roman" w:hAnsi="Times New Roman" w:eastAsia="宋体"/>
                <w:szCs w:val="21"/>
              </w:rPr>
              <w:t>检验方法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1</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低温动力黏度</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GB/T 6538-2010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2</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边界泵送温度</w:t>
            </w:r>
          </w:p>
        </w:tc>
        <w:tc>
          <w:tcPr>
            <w:tcW w:w="2032" w:type="pct"/>
            <w:vAlign w:val="center"/>
          </w:tcPr>
          <w:p>
            <w:pPr>
              <w:jc w:val="center"/>
              <w:rPr>
                <w:rFonts w:ascii="Times New Roman" w:hAnsi="Times New Roman" w:eastAsia="宋体"/>
                <w:szCs w:val="21"/>
              </w:rPr>
            </w:pPr>
            <w:r>
              <w:rPr>
                <w:rFonts w:ascii="Times New Roman" w:hAnsi="Times New Roman" w:eastAsia="宋体"/>
                <w:szCs w:val="21"/>
              </w:rPr>
              <w:t>GB/T</w:t>
            </w:r>
            <w:r>
              <w:rPr>
                <w:rFonts w:hint="eastAsia" w:ascii="Times New Roman" w:hAnsi="Times New Roman" w:eastAsia="宋体"/>
                <w:szCs w:val="21"/>
              </w:rPr>
              <w:t xml:space="preserve"> 9171-1988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3</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低温泵送黏度</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NB/SH/T 0562-2013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4</w:t>
            </w:r>
          </w:p>
        </w:tc>
        <w:tc>
          <w:tcPr>
            <w:tcW w:w="2390" w:type="pct"/>
            <w:vAlign w:val="center"/>
          </w:tcPr>
          <w:p>
            <w:pPr>
              <w:jc w:val="center"/>
              <w:rPr>
                <w:rFonts w:hint="eastAsia" w:ascii="Times New Roman" w:hAnsi="Times New Roman" w:eastAsia="宋体"/>
                <w:szCs w:val="21"/>
                <w:highlight w:val="none"/>
                <w:lang w:eastAsia="zh-CN"/>
              </w:rPr>
            </w:pPr>
            <w:r>
              <w:rPr>
                <w:rFonts w:hint="eastAsia" w:ascii="Times New Roman" w:hAnsi="Times New Roman" w:eastAsia="宋体"/>
                <w:szCs w:val="21"/>
                <w:highlight w:val="none"/>
              </w:rPr>
              <w:t>运动黏度</w:t>
            </w:r>
            <w:r>
              <w:rPr>
                <w:rFonts w:hint="eastAsia" w:ascii="Times New Roman" w:hAnsi="Times New Roman" w:eastAsia="宋体"/>
                <w:szCs w:val="21"/>
                <w:highlight w:val="none"/>
                <w:lang w:eastAsia="zh-CN"/>
              </w:rPr>
              <w:t>（</w:t>
            </w:r>
            <w:r>
              <w:rPr>
                <w:rFonts w:hint="eastAsia" w:ascii="Times New Roman" w:hAnsi="Times New Roman" w:eastAsia="宋体"/>
                <w:szCs w:val="21"/>
                <w:highlight w:val="none"/>
              </w:rPr>
              <w:t>100℃</w:t>
            </w:r>
            <w:r>
              <w:rPr>
                <w:rFonts w:hint="eastAsia" w:ascii="Times New Roman" w:hAnsi="Times New Roman" w:eastAsia="宋体"/>
                <w:szCs w:val="21"/>
                <w:highlight w:val="none"/>
                <w:lang w:eastAsia="zh-CN"/>
              </w:rPr>
              <w:t>）</w:t>
            </w:r>
            <w:bookmarkStart w:id="2" w:name="_GoBack"/>
            <w:bookmarkEnd w:id="2"/>
          </w:p>
        </w:tc>
        <w:tc>
          <w:tcPr>
            <w:tcW w:w="2032" w:type="pct"/>
            <w:vAlign w:val="center"/>
          </w:tcPr>
          <w:p>
            <w:pPr>
              <w:jc w:val="center"/>
              <w:rPr>
                <w:rFonts w:ascii="Times New Roman" w:hAnsi="Times New Roman" w:eastAsia="宋体"/>
                <w:szCs w:val="21"/>
              </w:rPr>
            </w:pPr>
            <w:r>
              <w:rPr>
                <w:rFonts w:ascii="Times New Roman" w:hAnsi="Times New Roman" w:eastAsia="宋体"/>
                <w:szCs w:val="21"/>
              </w:rPr>
              <w:t>GB/T</w:t>
            </w:r>
            <w:r>
              <w:rPr>
                <w:rFonts w:hint="eastAsia" w:ascii="Times New Roman" w:hAnsi="Times New Roman" w:eastAsia="宋体"/>
                <w:szCs w:val="21"/>
              </w:rPr>
              <w:t xml:space="preserve"> 265-1988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5</w:t>
            </w:r>
          </w:p>
        </w:tc>
        <w:tc>
          <w:tcPr>
            <w:tcW w:w="2390" w:type="pct"/>
            <w:vAlign w:val="center"/>
          </w:tcPr>
          <w:p>
            <w:pPr>
              <w:jc w:val="center"/>
              <w:rPr>
                <w:rFonts w:ascii="Times New Roman" w:hAnsi="Times New Roman" w:eastAsia="宋体"/>
                <w:szCs w:val="21"/>
                <w:highlight w:val="none"/>
              </w:rPr>
            </w:pPr>
            <w:r>
              <w:rPr>
                <w:rFonts w:hint="eastAsia" w:ascii="Times New Roman" w:hAnsi="Times New Roman" w:eastAsia="宋体"/>
                <w:szCs w:val="21"/>
                <w:highlight w:val="none"/>
              </w:rPr>
              <w:t>高温高剪切黏度</w:t>
            </w:r>
          </w:p>
        </w:tc>
        <w:tc>
          <w:tcPr>
            <w:tcW w:w="2032" w:type="pct"/>
            <w:vAlign w:val="center"/>
          </w:tcPr>
          <w:p>
            <w:pPr>
              <w:jc w:val="center"/>
              <w:rPr>
                <w:rFonts w:ascii="Times New Roman" w:hAnsi="Times New Roman" w:eastAsia="宋体"/>
                <w:szCs w:val="21"/>
              </w:rPr>
            </w:pPr>
            <w:r>
              <w:rPr>
                <w:rFonts w:ascii="Times New Roman" w:hAnsi="Times New Roman" w:eastAsia="宋体"/>
                <w:szCs w:val="21"/>
              </w:rPr>
              <w:t>SH/T 0</w:t>
            </w:r>
            <w:r>
              <w:rPr>
                <w:rFonts w:hint="eastAsia" w:ascii="Times New Roman" w:hAnsi="Times New Roman" w:eastAsia="宋体"/>
                <w:szCs w:val="21"/>
              </w:rPr>
              <w:t>618</w:t>
            </w:r>
            <w:r>
              <w:rPr>
                <w:rFonts w:ascii="Times New Roman" w:hAnsi="Times New Roman" w:eastAsia="宋体"/>
                <w:szCs w:val="21"/>
              </w:rPr>
              <w:t>-</w:t>
            </w:r>
            <w:r>
              <w:rPr>
                <w:rFonts w:hint="eastAsia" w:ascii="Times New Roman" w:hAnsi="Times New Roman" w:eastAsia="宋体"/>
                <w:szCs w:val="21"/>
              </w:rPr>
              <w:t>1995</w:t>
            </w:r>
          </w:p>
          <w:p>
            <w:pPr>
              <w:jc w:val="center"/>
              <w:rPr>
                <w:rFonts w:ascii="Times New Roman" w:hAnsi="Times New Roman" w:eastAsia="宋体"/>
                <w:szCs w:val="21"/>
              </w:rPr>
            </w:pPr>
            <w:r>
              <w:rPr>
                <w:rFonts w:hint="eastAsia" w:ascii="Times New Roman" w:hAnsi="Times New Roman" w:eastAsia="宋体"/>
                <w:szCs w:val="21"/>
              </w:rPr>
              <w:t>NB/SH/T 0703-2020</w:t>
            </w:r>
          </w:p>
          <w:p>
            <w:pPr>
              <w:jc w:val="center"/>
              <w:rPr>
                <w:rFonts w:ascii="Times New Roman" w:hAnsi="Times New Roman" w:eastAsia="宋体"/>
                <w:szCs w:val="21"/>
              </w:rPr>
            </w:pPr>
            <w:r>
              <w:rPr>
                <w:rFonts w:ascii="Times New Roman" w:hAnsi="Times New Roman" w:eastAsia="宋体"/>
                <w:szCs w:val="21"/>
              </w:rPr>
              <w:t>SH/T 07</w:t>
            </w:r>
            <w:r>
              <w:rPr>
                <w:rFonts w:hint="eastAsia" w:ascii="Times New Roman" w:hAnsi="Times New Roman" w:eastAsia="宋体"/>
                <w:szCs w:val="21"/>
              </w:rPr>
              <w:t>51</w:t>
            </w:r>
            <w:r>
              <w:rPr>
                <w:rFonts w:ascii="Times New Roman" w:hAnsi="Times New Roman" w:eastAsia="宋体"/>
                <w:szCs w:val="21"/>
              </w:rPr>
              <w:t>-200</w:t>
            </w:r>
            <w:r>
              <w:rPr>
                <w:rFonts w:hint="eastAsia" w:ascii="Times New Roman" w:hAnsi="Times New Roman" w:eastAsia="宋体"/>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6</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黏度指数</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GB/T 1995-1998</w:t>
            </w:r>
          </w:p>
          <w:p>
            <w:pPr>
              <w:jc w:val="center"/>
              <w:rPr>
                <w:rFonts w:ascii="Times New Roman" w:hAnsi="Times New Roman" w:eastAsia="宋体"/>
                <w:szCs w:val="21"/>
              </w:rPr>
            </w:pPr>
            <w:r>
              <w:rPr>
                <w:rFonts w:hint="eastAsia" w:ascii="Times New Roman" w:hAnsi="Times New Roman" w:eastAsia="宋体"/>
                <w:szCs w:val="21"/>
              </w:rPr>
              <w:t>GB/T 2541-1981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7</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倾点</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GB/T 3535-2006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8</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水分</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GB/T 260-2016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9</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泡沫性</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GB/T 12579-2002</w:t>
            </w:r>
          </w:p>
          <w:p>
            <w:pPr>
              <w:jc w:val="center"/>
              <w:rPr>
                <w:rFonts w:ascii="Times New Roman" w:hAnsi="Times New Roman" w:eastAsia="宋体"/>
                <w:szCs w:val="21"/>
              </w:rPr>
            </w:pPr>
            <w:r>
              <w:rPr>
                <w:rFonts w:hint="eastAsia" w:ascii="Times New Roman" w:hAnsi="Times New Roman" w:eastAsia="宋体"/>
                <w:szCs w:val="21"/>
              </w:rPr>
              <w:t>SH/T 0722-2002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10</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蒸发损失</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NB/SH/T 0059-2010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11</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机械杂质</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GB/T 511-2010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12</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闪点（开口）</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GB/T 3536-2008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13</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磷</w:t>
            </w:r>
          </w:p>
        </w:tc>
        <w:tc>
          <w:tcPr>
            <w:tcW w:w="2032" w:type="pct"/>
            <w:vAlign w:val="center"/>
          </w:tcPr>
          <w:p>
            <w:pPr>
              <w:jc w:val="center"/>
              <w:rPr>
                <w:rFonts w:ascii="Times New Roman" w:hAnsi="Times New Roman" w:eastAsia="宋体"/>
                <w:szCs w:val="21"/>
              </w:rPr>
            </w:pPr>
            <w:r>
              <w:rPr>
                <w:rFonts w:ascii="Times New Roman" w:hAnsi="Times New Roman" w:eastAsia="宋体"/>
                <w:szCs w:val="21"/>
              </w:rPr>
              <w:t>GB/T 17476-1998</w:t>
            </w:r>
          </w:p>
          <w:p>
            <w:pPr>
              <w:jc w:val="center"/>
              <w:rPr>
                <w:rFonts w:ascii="Times New Roman" w:hAnsi="Times New Roman" w:eastAsia="宋体"/>
                <w:szCs w:val="21"/>
              </w:rPr>
            </w:pPr>
            <w:r>
              <w:rPr>
                <w:rFonts w:hint="eastAsia" w:ascii="Times New Roman" w:hAnsi="Times New Roman" w:eastAsia="宋体"/>
                <w:szCs w:val="21"/>
              </w:rPr>
              <w:t>SH/T 0631-1996</w:t>
            </w:r>
          </w:p>
          <w:p>
            <w:pPr>
              <w:jc w:val="center"/>
              <w:rPr>
                <w:rFonts w:ascii="Times New Roman" w:hAnsi="Times New Roman" w:eastAsia="宋体"/>
                <w:szCs w:val="21"/>
              </w:rPr>
            </w:pPr>
            <w:r>
              <w:rPr>
                <w:rFonts w:hint="eastAsia" w:ascii="Times New Roman" w:hAnsi="Times New Roman" w:eastAsia="宋体"/>
                <w:szCs w:val="21"/>
              </w:rPr>
              <w:t>SH/T 0749-2004</w:t>
            </w:r>
          </w:p>
          <w:p>
            <w:pPr>
              <w:jc w:val="center"/>
              <w:rPr>
                <w:rFonts w:ascii="Times New Roman" w:hAnsi="Times New Roman" w:eastAsia="宋体"/>
                <w:szCs w:val="21"/>
              </w:rPr>
            </w:pPr>
            <w:r>
              <w:rPr>
                <w:rFonts w:hint="eastAsia" w:ascii="Times New Roman" w:hAnsi="Times New Roman" w:eastAsia="宋体"/>
                <w:szCs w:val="21"/>
              </w:rPr>
              <w:t>SH/T 0296-1992</w:t>
            </w:r>
          </w:p>
        </w:tc>
      </w:tr>
    </w:tbl>
    <w:p>
      <w:pPr>
        <w:widowControl/>
        <w:adjustRightInd w:val="0"/>
        <w:spacing w:line="440" w:lineRule="exact"/>
        <w:ind w:firstLine="420" w:firstLineChars="200"/>
        <w:rPr>
          <w:rFonts w:ascii="Times New Roman" w:hAnsi="Times New Roman" w:eastAsia="宋体"/>
          <w:color w:val="000000"/>
          <w:szCs w:val="21"/>
        </w:rPr>
      </w:pPr>
      <w:r>
        <w:rPr>
          <w:rFonts w:hint="eastAsia" w:ascii="Times New Roman" w:hAnsi="Times New Roman" w:eastAsia="宋体"/>
          <w:color w:val="000000"/>
          <w:szCs w:val="21"/>
        </w:rPr>
        <w:t>执行企业标准、团体标准、地方标准的产品，检验项目参照上述内容执行。</w:t>
      </w:r>
    </w:p>
    <w:p>
      <w:pPr>
        <w:widowControl/>
        <w:adjustRightInd w:val="0"/>
        <w:spacing w:line="440" w:lineRule="exact"/>
        <w:ind w:firstLine="420" w:firstLineChars="200"/>
        <w:rPr>
          <w:rFonts w:ascii="Times New Roman" w:hAnsi="Times New Roman" w:eastAsia="宋体"/>
          <w:color w:val="000000"/>
          <w:szCs w:val="21"/>
        </w:rPr>
      </w:pPr>
      <w:r>
        <w:rPr>
          <w:rFonts w:ascii="Times New Roman" w:hAnsi="Times New Roman" w:eastAsia="宋体"/>
          <w:color w:val="000000"/>
          <w:szCs w:val="21"/>
        </w:rPr>
        <w:t>凡是注日期的文件，其随后所有的修改单（不包括勘误的内容）或修订版不适用于本细则。凡是不注日期的文件，其最新版本适用于本细则。</w:t>
      </w:r>
    </w:p>
    <w:p>
      <w:pPr>
        <w:widowControl/>
        <w:adjustRightInd w:val="0"/>
        <w:spacing w:line="440" w:lineRule="exact"/>
        <w:ind w:firstLine="420" w:firstLineChars="200"/>
        <w:rPr>
          <w:rFonts w:ascii="Times New Roman" w:hAnsi="Times New Roman" w:eastAsia="宋体"/>
          <w:color w:val="000000"/>
          <w:szCs w:val="21"/>
        </w:rPr>
      </w:pPr>
    </w:p>
    <w:p>
      <w:pPr>
        <w:spacing w:line="440" w:lineRule="exact"/>
        <w:rPr>
          <w:rFonts w:ascii="Times New Roman" w:hAnsi="Times New Roman" w:eastAsia="黑体"/>
          <w:color w:val="000000"/>
          <w:szCs w:val="21"/>
        </w:rPr>
      </w:pPr>
      <w:r>
        <w:rPr>
          <w:rFonts w:ascii="Times New Roman" w:hAnsi="Times New Roman" w:eastAsia="黑体"/>
          <w:color w:val="000000"/>
          <w:szCs w:val="21"/>
        </w:rPr>
        <w:t>3 判定规则</w:t>
      </w:r>
    </w:p>
    <w:p>
      <w:pPr>
        <w:spacing w:line="440" w:lineRule="exact"/>
        <w:rPr>
          <w:rFonts w:ascii="Times New Roman" w:hAnsi="Times New Roman" w:eastAsia="宋体"/>
          <w:color w:val="000000"/>
          <w:szCs w:val="21"/>
        </w:rPr>
      </w:pPr>
      <w:r>
        <w:rPr>
          <w:rFonts w:ascii="Times New Roman" w:hAnsi="Times New Roman" w:eastAsia="宋体"/>
          <w:color w:val="000000"/>
          <w:szCs w:val="21"/>
        </w:rPr>
        <w:t>3.1依据标准</w:t>
      </w:r>
    </w:p>
    <w:p>
      <w:pPr>
        <w:spacing w:line="440" w:lineRule="exact"/>
        <w:ind w:firstLine="420" w:firstLineChars="200"/>
        <w:rPr>
          <w:rFonts w:ascii="Times New Roman" w:hAnsi="Times New Roman" w:eastAsia="宋体"/>
          <w:color w:val="000000"/>
          <w:szCs w:val="21"/>
        </w:rPr>
      </w:pPr>
      <w:bookmarkStart w:id="0" w:name="_Hlk32567754"/>
      <w:r>
        <w:rPr>
          <w:rFonts w:hint="eastAsia" w:ascii="Times New Roman" w:hAnsi="Times New Roman" w:eastAsia="宋体"/>
          <w:color w:val="000000"/>
          <w:szCs w:val="21"/>
        </w:rPr>
        <w:t>GB 11121-2006 汽油机油</w:t>
      </w:r>
    </w:p>
    <w:p>
      <w:pPr>
        <w:spacing w:line="440" w:lineRule="exact"/>
        <w:ind w:firstLine="420" w:firstLineChars="200"/>
        <w:rPr>
          <w:rFonts w:ascii="Times New Roman" w:hAnsi="Times New Roman" w:eastAsia="宋体"/>
          <w:color w:val="000000"/>
          <w:szCs w:val="21"/>
        </w:rPr>
      </w:pPr>
      <w:r>
        <w:rPr>
          <w:rFonts w:hint="eastAsia" w:ascii="Times New Roman" w:hAnsi="Times New Roman" w:eastAsia="宋体"/>
          <w:color w:val="000000"/>
          <w:szCs w:val="21"/>
        </w:rPr>
        <w:t>GB 11122-2006 柴油机油</w:t>
      </w:r>
    </w:p>
    <w:p>
      <w:pPr>
        <w:spacing w:line="440" w:lineRule="exact"/>
        <w:ind w:firstLine="420" w:firstLineChars="200"/>
        <w:rPr>
          <w:rFonts w:ascii="Times New Roman" w:hAnsi="Times New Roman" w:eastAsia="宋体"/>
          <w:color w:val="000000"/>
          <w:szCs w:val="21"/>
        </w:rPr>
      </w:pPr>
      <w:r>
        <w:rPr>
          <w:rFonts w:ascii="Times New Roman" w:hAnsi="Times New Roman" w:eastAsia="宋体"/>
          <w:color w:val="000000"/>
          <w:szCs w:val="21"/>
        </w:rPr>
        <w:t>现行有效的企业标准、团体标准、地方标准及产品明示质量要求</w:t>
      </w:r>
    </w:p>
    <w:bookmarkEnd w:id="0"/>
    <w:p>
      <w:pPr>
        <w:spacing w:line="440" w:lineRule="exact"/>
        <w:rPr>
          <w:rFonts w:ascii="Times New Roman" w:hAnsi="Times New Roman" w:eastAsia="宋体"/>
          <w:color w:val="000000"/>
          <w:szCs w:val="21"/>
        </w:rPr>
      </w:pPr>
      <w:r>
        <w:rPr>
          <w:rFonts w:ascii="Times New Roman" w:hAnsi="Times New Roman" w:eastAsia="宋体"/>
          <w:color w:val="000000"/>
          <w:szCs w:val="21"/>
        </w:rPr>
        <w:t>3.2判定原则</w:t>
      </w:r>
    </w:p>
    <w:p>
      <w:pPr>
        <w:spacing w:line="440" w:lineRule="exact"/>
        <w:ind w:firstLine="420" w:firstLineChars="200"/>
        <w:rPr>
          <w:rFonts w:ascii="Times New Roman" w:hAnsi="Times New Roman" w:eastAsia="宋体"/>
          <w:color w:val="000000"/>
          <w:szCs w:val="21"/>
        </w:rPr>
      </w:pPr>
      <w:bookmarkStart w:id="1" w:name="_Hlk33514746"/>
      <w:r>
        <w:rPr>
          <w:rFonts w:hint="eastAsia" w:ascii="Times New Roman" w:hAnsi="Times New Roman" w:eastAsia="宋体"/>
          <w:color w:val="000000"/>
          <w:szCs w:val="21"/>
        </w:rPr>
        <w:t>经检验，检验项目全部合格，判定为被抽查产品合格；检验项目中任一项或一项以上不合格，</w:t>
      </w:r>
      <w:r>
        <w:rPr>
          <w:rFonts w:hint="eastAsia" w:ascii="Times New Roman" w:hAnsi="Times New Roman" w:eastAsia="宋体"/>
          <w:szCs w:val="21"/>
        </w:rPr>
        <w:t>判定为被抽查产品不合格</w:t>
      </w:r>
      <w:r>
        <w:rPr>
          <w:rFonts w:hint="eastAsia" w:ascii="Times New Roman" w:hAnsi="Times New Roman" w:eastAsia="宋体"/>
          <w:color w:val="000000"/>
          <w:szCs w:val="21"/>
        </w:rPr>
        <w:t>。</w:t>
      </w:r>
    </w:p>
    <w:p>
      <w:pPr>
        <w:spacing w:line="440" w:lineRule="exact"/>
        <w:ind w:firstLine="417" w:firstLineChars="199"/>
        <w:rPr>
          <w:rFonts w:ascii="Times New Roman" w:hAnsi="Times New Roman" w:eastAsia="宋体"/>
          <w:color w:val="000000"/>
          <w:szCs w:val="21"/>
        </w:rPr>
      </w:pPr>
      <w:r>
        <w:rPr>
          <w:rFonts w:ascii="Times New Roman" w:hAnsi="Times New Roman" w:eastAsia="宋体"/>
          <w:color w:val="000000"/>
          <w:szCs w:val="21"/>
        </w:rPr>
        <w:t>若被检产品明示的质量要求高于本细则中检验项目依据的标准要求时，应按被检产品明示的质量要求判定。</w:t>
      </w:r>
    </w:p>
    <w:p>
      <w:pPr>
        <w:spacing w:line="440" w:lineRule="exact"/>
        <w:ind w:firstLine="417" w:firstLineChars="199"/>
        <w:rPr>
          <w:rFonts w:ascii="Times New Roman" w:hAnsi="Times New Roman" w:eastAsia="宋体"/>
          <w:color w:val="000000"/>
          <w:szCs w:val="21"/>
        </w:rPr>
      </w:pPr>
      <w:r>
        <w:rPr>
          <w:rFonts w:ascii="Times New Roman" w:hAnsi="Times New Roman" w:eastAsia="宋体"/>
          <w:color w:val="000000"/>
          <w:szCs w:val="21"/>
        </w:rPr>
        <w:t>若被检产品明示的质量要求低于本细则中检验项目依据的强制性标准要求时，应按照强制性标准要求判定。</w:t>
      </w:r>
    </w:p>
    <w:p>
      <w:pPr>
        <w:spacing w:line="440" w:lineRule="exact"/>
        <w:ind w:firstLine="417" w:firstLineChars="199"/>
        <w:rPr>
          <w:rFonts w:ascii="Times New Roman" w:hAnsi="Times New Roman" w:eastAsia="宋体"/>
          <w:color w:val="000000"/>
          <w:szCs w:val="21"/>
        </w:rPr>
      </w:pPr>
      <w:r>
        <w:rPr>
          <w:rFonts w:ascii="Times New Roman" w:hAnsi="Times New Roman" w:eastAsia="宋体"/>
          <w:color w:val="000000"/>
          <w:szCs w:val="21"/>
        </w:rPr>
        <w:t>若被检产品明示的质量要求低于或包含本细则中检验项目依据的推荐性标准要求时，应以被检产品明示的质量要求判定。</w:t>
      </w:r>
    </w:p>
    <w:p>
      <w:pPr>
        <w:spacing w:line="440" w:lineRule="exact"/>
        <w:ind w:firstLine="417" w:firstLineChars="199"/>
        <w:rPr>
          <w:rFonts w:ascii="Times New Roman" w:hAnsi="Times New Roman" w:eastAsia="宋体"/>
          <w:color w:val="000000"/>
          <w:szCs w:val="21"/>
        </w:rPr>
      </w:pPr>
      <w:r>
        <w:rPr>
          <w:rFonts w:ascii="Times New Roman" w:hAnsi="Times New Roman" w:eastAsia="宋体"/>
          <w:color w:val="000000"/>
          <w:szCs w:val="21"/>
        </w:rPr>
        <w:t>若被检产品明示的质量要求缺少本细则中检验项目依据的强制性标准要求时，应按照强制性标准要求判定。</w:t>
      </w:r>
    </w:p>
    <w:p>
      <w:pPr>
        <w:spacing w:line="440" w:lineRule="exact"/>
        <w:ind w:firstLine="417" w:firstLineChars="199"/>
        <w:rPr>
          <w:rFonts w:ascii="Times New Roman" w:hAnsi="Times New Roman"/>
          <w:color w:val="000000"/>
          <w:szCs w:val="21"/>
        </w:rPr>
      </w:pPr>
      <w:r>
        <w:rPr>
          <w:rFonts w:ascii="Times New Roman" w:hAnsi="Times New Roman" w:eastAsia="宋体"/>
          <w:color w:val="000000"/>
          <w:szCs w:val="21"/>
        </w:rPr>
        <w:t>若被检产品明示的质量要求缺少本细则中检验项目依据的推荐性标准要求时，该项目不参与判定</w:t>
      </w:r>
      <w:r>
        <w:rPr>
          <w:rFonts w:hint="eastAsia" w:ascii="Times New Roman" w:hAnsi="Times New Roman" w:eastAsia="宋体"/>
          <w:color w:val="000000"/>
          <w:szCs w:val="21"/>
        </w:rPr>
        <w:t>。</w:t>
      </w:r>
    </w:p>
    <w:bookmarkEnd w:id="1"/>
    <w:p>
      <w:pPr>
        <w:spacing w:line="440" w:lineRule="exact"/>
        <w:rPr>
          <w:rFonts w:hint="eastAsia" w:ascii="Times New Roman" w:hAnsi="Times New Roman"/>
          <w:color w:val="FF0000"/>
          <w:szCs w:val="21"/>
        </w:rPr>
      </w:pPr>
    </w:p>
    <w:p>
      <w:pPr>
        <w:spacing w:line="440" w:lineRule="exact"/>
        <w:rPr>
          <w:rFonts w:hint="eastAsia" w:ascii="Times New Roman" w:hAnsi="Times New Roman" w:eastAsia="黑体"/>
          <w:color w:val="000000"/>
          <w:szCs w:val="21"/>
        </w:rPr>
      </w:pPr>
      <w:r>
        <w:rPr>
          <w:rFonts w:hint="eastAsia" w:ascii="Times New Roman" w:hAnsi="Times New Roman" w:eastAsia="黑体"/>
          <w:color w:val="000000"/>
          <w:szCs w:val="21"/>
        </w:rPr>
        <w:t>4 附则</w:t>
      </w:r>
    </w:p>
    <w:p>
      <w:pPr>
        <w:spacing w:line="440" w:lineRule="exact"/>
        <w:ind w:firstLine="420" w:firstLineChars="200"/>
        <w:rPr>
          <w:rFonts w:ascii="Times New Roman" w:hAnsi="Times New Roman" w:eastAsia="宋体"/>
          <w:color w:val="000000"/>
          <w:szCs w:val="21"/>
        </w:rPr>
      </w:pPr>
      <w:r>
        <w:rPr>
          <w:rFonts w:hint="eastAsia" w:ascii="Times New Roman" w:hAnsi="Times New Roman" w:eastAsia="宋体"/>
          <w:color w:val="000000"/>
          <w:szCs w:val="21"/>
        </w:rPr>
        <w:t>本细则首次发布。</w:t>
      </w:r>
    </w:p>
    <w:sectPr>
      <w:headerReference r:id="rId3" w:type="default"/>
      <w:footerReference r:id="rId4" w:type="default"/>
      <w:footerReference r:id="rId5" w:type="even"/>
      <w:pgSz w:w="11906" w:h="16838"/>
      <w:pgMar w:top="1985" w:right="1474" w:bottom="1644" w:left="1474" w:header="851" w:footer="1191"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955AE62B-B2EA-42AB-B28A-BC91D5ED6D8B}"/>
  </w:font>
  <w:font w:name="Arial">
    <w:panose1 w:val="020B0604020202020204"/>
    <w:charset w:val="01"/>
    <w:family w:val="swiss"/>
    <w:pitch w:val="default"/>
    <w:sig w:usb0="E0002EFF" w:usb1="C000785B" w:usb2="00000009" w:usb3="00000000" w:csb0="400001FF" w:csb1="FFFF0000"/>
    <w:embedRegular r:id="rId2" w:fontKey="{AD23C72A-ED53-4B44-B83E-06305876A0A9}"/>
  </w:font>
  <w:font w:name="黑体">
    <w:panose1 w:val="02010609060101010101"/>
    <w:charset w:val="86"/>
    <w:family w:val="auto"/>
    <w:pitch w:val="default"/>
    <w:sig w:usb0="800002BF" w:usb1="38CF7CFA" w:usb2="00000016" w:usb3="00000000" w:csb0="00040001" w:csb1="00000000"/>
    <w:embedRegular r:id="rId3" w:fontKey="{3222B475-1614-4E2E-B916-2679ABD9172E}"/>
  </w:font>
  <w:font w:name="Courier New">
    <w:panose1 w:val="02070309020205020404"/>
    <w:charset w:val="01"/>
    <w:family w:val="modern"/>
    <w:pitch w:val="default"/>
    <w:sig w:usb0="E0002EFF" w:usb1="C0007843" w:usb2="00000009" w:usb3="00000000" w:csb0="400001FF" w:csb1="FFFF0000"/>
    <w:embedRegular r:id="rId4" w:fontKey="{6A4B3D88-5415-4512-8F85-05C1A7A793D0}"/>
  </w:font>
  <w:font w:name="Symbol">
    <w:panose1 w:val="05050102010706020507"/>
    <w:charset w:val="02"/>
    <w:family w:val="roman"/>
    <w:pitch w:val="default"/>
    <w:sig w:usb0="00000000" w:usb1="00000000" w:usb2="00000000" w:usb3="00000000" w:csb0="80000000" w:csb1="00000000"/>
    <w:embedRegular r:id="rId5" w:fontKey="{A1EAC1D0-2DDB-44EE-AC80-0405C67E77B7}"/>
  </w:font>
  <w:font w:name="Calibri">
    <w:panose1 w:val="020F0502020204030204"/>
    <w:charset w:val="00"/>
    <w:family w:val="swiss"/>
    <w:pitch w:val="default"/>
    <w:sig w:usb0="E4002EFF" w:usb1="C000247B" w:usb2="00000009" w:usb3="00000000" w:csb0="200001FF" w:csb1="00000000"/>
    <w:embedRegular r:id="rId6" w:fontKey="{BCD69A46-5863-4154-A964-F58FF1635FAE}"/>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仿宋简体">
    <w:panose1 w:val="02010601030101010101"/>
    <w:charset w:val="86"/>
    <w:family w:val="auto"/>
    <w:pitch w:val="default"/>
    <w:sig w:usb0="00000001" w:usb1="080E0000" w:usb2="00000000" w:usb3="00000000" w:csb0="00040000" w:csb1="00000000"/>
  </w:font>
  <w:font w:name="方正小标宋简体">
    <w:panose1 w:val="02010601030101010101"/>
    <w:charset w:val="86"/>
    <w:family w:val="auto"/>
    <w:pitch w:val="default"/>
    <w:sig w:usb0="00000001" w:usb1="080E0000" w:usb2="00000000" w:usb3="00000000" w:csb0="00040000" w:csb1="00000000"/>
    <w:embedRegular r:id="rId7" w:fontKey="{7DC0A6A1-0639-4D34-BC03-592E7683D0F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center"/>
    </w:pPr>
    <w:r>
      <w:rPr>
        <w:lang w:val="zh-CN"/>
      </w:rPr>
      <w:fldChar w:fldCharType="begin"/>
    </w:r>
    <w:r>
      <w:rPr>
        <w:lang w:val="zh-CN"/>
      </w:rPr>
      <w:instrText xml:space="preserve"> PAGE   \* MERGEFORMAT </w:instrText>
    </w:r>
    <w:r>
      <w:rPr>
        <w:lang w:val="zh-CN"/>
      </w:rPr>
      <w:fldChar w:fldCharType="separate"/>
    </w:r>
    <w:r>
      <w:t>1</w:t>
    </w:r>
    <w:r>
      <w:rPr>
        <w:lang w:val="zh-C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9"/>
      </w:rPr>
    </w:pPr>
    <w:r>
      <w:fldChar w:fldCharType="begin"/>
    </w:r>
    <w:r>
      <w:rPr>
        <w:rStyle w:val="9"/>
      </w:rPr>
      <w:instrText xml:space="preserve">PAGE  </w:instrText>
    </w:r>
    <w:r>
      <w:fldChar w:fldCharType="separate"/>
    </w:r>
    <w:r>
      <w:rPr>
        <w:rStyle w:val="9"/>
      </w:rPr>
      <w:t>2</w:t>
    </w:r>
    <w:r>
      <w:fldChar w:fldCharType="end"/>
    </w:r>
  </w:p>
  <w:p>
    <w:pPr>
      <w:pStyle w:val="4"/>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1"/>
  <w:bordersDoNotSurroundFooter w:val="1"/>
  <w:documentProtection w:enforcement="0"/>
  <w:defaultTabStop w:val="420"/>
  <w:drawingGridHorizontalSpacing w:val="105"/>
  <w:drawingGridVerticalSpacing w:val="156"/>
  <w:noPunctuationKerning w:val="1"/>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2"/>
  </w:compat>
  <w:rsids>
    <w:rsidRoot w:val="00172A27"/>
    <w:rsid w:val="00051A44"/>
    <w:rsid w:val="0008099D"/>
    <w:rsid w:val="00081CBD"/>
    <w:rsid w:val="000976DE"/>
    <w:rsid w:val="000A5F22"/>
    <w:rsid w:val="000B5F1F"/>
    <w:rsid w:val="000D7B46"/>
    <w:rsid w:val="001106BC"/>
    <w:rsid w:val="00143B76"/>
    <w:rsid w:val="00170850"/>
    <w:rsid w:val="00171854"/>
    <w:rsid w:val="00172A27"/>
    <w:rsid w:val="001809DD"/>
    <w:rsid w:val="00181732"/>
    <w:rsid w:val="001C767E"/>
    <w:rsid w:val="001D7328"/>
    <w:rsid w:val="001E3F0B"/>
    <w:rsid w:val="001F403D"/>
    <w:rsid w:val="001F53BB"/>
    <w:rsid w:val="00253624"/>
    <w:rsid w:val="002A6D41"/>
    <w:rsid w:val="002D7F8A"/>
    <w:rsid w:val="002E0574"/>
    <w:rsid w:val="002E0D1D"/>
    <w:rsid w:val="003203A3"/>
    <w:rsid w:val="00325881"/>
    <w:rsid w:val="003358F7"/>
    <w:rsid w:val="003A4007"/>
    <w:rsid w:val="003A7E00"/>
    <w:rsid w:val="003C388C"/>
    <w:rsid w:val="003E61BF"/>
    <w:rsid w:val="00413924"/>
    <w:rsid w:val="004167D2"/>
    <w:rsid w:val="004441A8"/>
    <w:rsid w:val="00445E86"/>
    <w:rsid w:val="00474E04"/>
    <w:rsid w:val="00475C6D"/>
    <w:rsid w:val="004A6376"/>
    <w:rsid w:val="004B79B3"/>
    <w:rsid w:val="004C5CBC"/>
    <w:rsid w:val="004D0C5A"/>
    <w:rsid w:val="004E1396"/>
    <w:rsid w:val="005029C8"/>
    <w:rsid w:val="005138E4"/>
    <w:rsid w:val="00517CC3"/>
    <w:rsid w:val="005213B8"/>
    <w:rsid w:val="00532383"/>
    <w:rsid w:val="00563EBC"/>
    <w:rsid w:val="005A64E2"/>
    <w:rsid w:val="005B5A8F"/>
    <w:rsid w:val="005E4B7A"/>
    <w:rsid w:val="00610158"/>
    <w:rsid w:val="00617EEB"/>
    <w:rsid w:val="0063117D"/>
    <w:rsid w:val="0063518D"/>
    <w:rsid w:val="00652CBC"/>
    <w:rsid w:val="006603E7"/>
    <w:rsid w:val="00695B38"/>
    <w:rsid w:val="006B2ED2"/>
    <w:rsid w:val="006E1171"/>
    <w:rsid w:val="006F0971"/>
    <w:rsid w:val="006F5628"/>
    <w:rsid w:val="006F7CCC"/>
    <w:rsid w:val="0072334C"/>
    <w:rsid w:val="007250A4"/>
    <w:rsid w:val="00760E9F"/>
    <w:rsid w:val="00777C1B"/>
    <w:rsid w:val="007A029D"/>
    <w:rsid w:val="007A7169"/>
    <w:rsid w:val="007C2E6A"/>
    <w:rsid w:val="00841DAD"/>
    <w:rsid w:val="00895BEA"/>
    <w:rsid w:val="008A3497"/>
    <w:rsid w:val="008C20FA"/>
    <w:rsid w:val="008C3647"/>
    <w:rsid w:val="008C613B"/>
    <w:rsid w:val="008D6FA1"/>
    <w:rsid w:val="00917A54"/>
    <w:rsid w:val="0095769F"/>
    <w:rsid w:val="0096024D"/>
    <w:rsid w:val="00962774"/>
    <w:rsid w:val="00973305"/>
    <w:rsid w:val="0098353F"/>
    <w:rsid w:val="009955AE"/>
    <w:rsid w:val="009F0B23"/>
    <w:rsid w:val="00A16D36"/>
    <w:rsid w:val="00A36E43"/>
    <w:rsid w:val="00A43553"/>
    <w:rsid w:val="00A4441E"/>
    <w:rsid w:val="00B02932"/>
    <w:rsid w:val="00B362C0"/>
    <w:rsid w:val="00B63617"/>
    <w:rsid w:val="00B656CC"/>
    <w:rsid w:val="00B661C1"/>
    <w:rsid w:val="00BA7BA7"/>
    <w:rsid w:val="00BC4FA6"/>
    <w:rsid w:val="00BF2B8C"/>
    <w:rsid w:val="00BF3D33"/>
    <w:rsid w:val="00C016B1"/>
    <w:rsid w:val="00C26074"/>
    <w:rsid w:val="00C660AE"/>
    <w:rsid w:val="00C6738A"/>
    <w:rsid w:val="00C83B0A"/>
    <w:rsid w:val="00CB4149"/>
    <w:rsid w:val="00CC69E4"/>
    <w:rsid w:val="00CD1D2A"/>
    <w:rsid w:val="00CE1E0C"/>
    <w:rsid w:val="00CE277E"/>
    <w:rsid w:val="00D16E10"/>
    <w:rsid w:val="00D219DE"/>
    <w:rsid w:val="00D35B0F"/>
    <w:rsid w:val="00D56867"/>
    <w:rsid w:val="00D73F28"/>
    <w:rsid w:val="00D81051"/>
    <w:rsid w:val="00DA697A"/>
    <w:rsid w:val="00DC02CC"/>
    <w:rsid w:val="00DD1BBE"/>
    <w:rsid w:val="00DD3D1B"/>
    <w:rsid w:val="00DE1949"/>
    <w:rsid w:val="00E02A7F"/>
    <w:rsid w:val="00E057AE"/>
    <w:rsid w:val="00E07880"/>
    <w:rsid w:val="00E734CF"/>
    <w:rsid w:val="00E809EC"/>
    <w:rsid w:val="00E82621"/>
    <w:rsid w:val="00E8350D"/>
    <w:rsid w:val="00E87FAC"/>
    <w:rsid w:val="00E92CD8"/>
    <w:rsid w:val="00E94B23"/>
    <w:rsid w:val="00EB2852"/>
    <w:rsid w:val="00EF0881"/>
    <w:rsid w:val="00F14804"/>
    <w:rsid w:val="00F5020C"/>
    <w:rsid w:val="00F77C9A"/>
    <w:rsid w:val="00F9194C"/>
    <w:rsid w:val="00FA577F"/>
    <w:rsid w:val="00FB576C"/>
    <w:rsid w:val="00FD03A4"/>
    <w:rsid w:val="00FD2AA6"/>
    <w:rsid w:val="00FE4400"/>
    <w:rsid w:val="00FE7E8A"/>
    <w:rsid w:val="04BE40B7"/>
    <w:rsid w:val="05982F1A"/>
    <w:rsid w:val="0E234566"/>
    <w:rsid w:val="154F44FB"/>
    <w:rsid w:val="17840BF8"/>
    <w:rsid w:val="179A0D2C"/>
    <w:rsid w:val="190B6DE1"/>
    <w:rsid w:val="1A240631"/>
    <w:rsid w:val="2CE20760"/>
    <w:rsid w:val="2EFB787C"/>
    <w:rsid w:val="305C4943"/>
    <w:rsid w:val="3137047A"/>
    <w:rsid w:val="38072860"/>
    <w:rsid w:val="41B32F1C"/>
    <w:rsid w:val="41BC3268"/>
    <w:rsid w:val="47A95A72"/>
    <w:rsid w:val="4C0D0F29"/>
    <w:rsid w:val="5544469C"/>
    <w:rsid w:val="5BF5614E"/>
    <w:rsid w:val="5C9D5271"/>
    <w:rsid w:val="6223045D"/>
    <w:rsid w:val="63262489"/>
    <w:rsid w:val="64FB20DA"/>
    <w:rsid w:val="6718662D"/>
    <w:rsid w:val="6B05757B"/>
    <w:rsid w:val="74F745B5"/>
    <w:rsid w:val="761551FF"/>
    <w:rsid w:val="76544FD4"/>
    <w:rsid w:val="78692E0F"/>
    <w:rsid w:val="793D62F0"/>
    <w:rsid w:val="7E9447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仿宋_GB2312" w:hAnsi="仿宋" w:eastAsia="仿宋_GB2312" w:cs="方正仿宋简体"/>
      <w:kern w:val="2"/>
      <w:sz w:val="21"/>
      <w:szCs w:val="24"/>
      <w:lang w:val="en-US" w:eastAsia="zh-CN" w:bidi="ar-SA"/>
    </w:rPr>
  </w:style>
  <w:style w:type="character" w:default="1" w:styleId="8">
    <w:name w:val="Default Paragraph Font"/>
    <w:semiHidden/>
    <w:unhideWhenUsed/>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7"/>
    <w:unhideWhenUsed/>
    <w:qFormat/>
    <w:uiPriority w:val="99"/>
    <w:pPr>
      <w:jc w:val="left"/>
    </w:pPr>
    <w:rPr>
      <w:rFonts w:cs="Times New Roman"/>
    </w:rPr>
  </w:style>
  <w:style w:type="paragraph" w:styleId="3">
    <w:name w:val="Balloon Text"/>
    <w:basedOn w:val="1"/>
    <w:link w:val="16"/>
    <w:unhideWhenUsed/>
    <w:qFormat/>
    <w:uiPriority w:val="99"/>
    <w:rPr>
      <w:rFonts w:cs="Times New Roman"/>
      <w:sz w:val="18"/>
      <w:szCs w:val="18"/>
    </w:rPr>
  </w:style>
  <w:style w:type="paragraph" w:styleId="4">
    <w:name w:val="footer"/>
    <w:basedOn w:val="1"/>
    <w:link w:val="14"/>
    <w:unhideWhenUsed/>
    <w:qFormat/>
    <w:uiPriority w:val="99"/>
    <w:pPr>
      <w:tabs>
        <w:tab w:val="center" w:pos="4153"/>
        <w:tab w:val="right" w:pos="8306"/>
      </w:tabs>
      <w:snapToGrid w:val="0"/>
      <w:jc w:val="left"/>
    </w:pPr>
    <w:rPr>
      <w:rFonts w:cs="Times New Roman"/>
      <w:sz w:val="18"/>
      <w:szCs w:val="18"/>
    </w:rPr>
  </w:style>
  <w:style w:type="paragraph" w:styleId="5">
    <w:name w:val="header"/>
    <w:basedOn w:val="1"/>
    <w:link w:val="13"/>
    <w:unhideWhenUsed/>
    <w:qFormat/>
    <w:uiPriority w:val="99"/>
    <w:pPr>
      <w:pBdr>
        <w:bottom w:val="single" w:color="auto" w:sz="6" w:space="1"/>
      </w:pBdr>
      <w:tabs>
        <w:tab w:val="center" w:pos="4153"/>
        <w:tab w:val="right" w:pos="8306"/>
      </w:tabs>
      <w:snapToGrid w:val="0"/>
      <w:jc w:val="center"/>
    </w:pPr>
    <w:rPr>
      <w:rFonts w:cs="Times New Roman"/>
      <w:sz w:val="18"/>
      <w:szCs w:val="18"/>
    </w:rPr>
  </w:style>
  <w:style w:type="paragraph" w:styleId="6">
    <w:name w:val="annotation subject"/>
    <w:basedOn w:val="2"/>
    <w:next w:val="2"/>
    <w:link w:val="15"/>
    <w:unhideWhenUsed/>
    <w:qFormat/>
    <w:uiPriority w:val="99"/>
    <w:rPr>
      <w:b/>
      <w:bCs/>
    </w:rPr>
  </w:style>
  <w:style w:type="character" w:styleId="9">
    <w:name w:val="page number"/>
    <w:basedOn w:val="8"/>
    <w:qFormat/>
    <w:uiPriority w:val="0"/>
  </w:style>
  <w:style w:type="character" w:styleId="10">
    <w:name w:val="FollowedHyperlink"/>
    <w:basedOn w:val="8"/>
    <w:semiHidden/>
    <w:unhideWhenUsed/>
    <w:qFormat/>
    <w:uiPriority w:val="99"/>
    <w:rPr>
      <w:color w:val="262626"/>
      <w:u w:val="none"/>
    </w:rPr>
  </w:style>
  <w:style w:type="character" w:styleId="11">
    <w:name w:val="Hyperlink"/>
    <w:basedOn w:val="8"/>
    <w:semiHidden/>
    <w:unhideWhenUsed/>
    <w:qFormat/>
    <w:uiPriority w:val="99"/>
    <w:rPr>
      <w:color w:val="262626"/>
      <w:u w:val="none"/>
    </w:rPr>
  </w:style>
  <w:style w:type="character" w:styleId="12">
    <w:name w:val="annotation reference"/>
    <w:unhideWhenUsed/>
    <w:qFormat/>
    <w:uiPriority w:val="99"/>
    <w:rPr>
      <w:sz w:val="21"/>
      <w:szCs w:val="21"/>
    </w:rPr>
  </w:style>
  <w:style w:type="character" w:customStyle="1" w:styleId="13">
    <w:name w:val="页眉 Char"/>
    <w:link w:val="5"/>
    <w:semiHidden/>
    <w:qFormat/>
    <w:uiPriority w:val="99"/>
    <w:rPr>
      <w:kern w:val="2"/>
      <w:sz w:val="18"/>
      <w:szCs w:val="18"/>
    </w:rPr>
  </w:style>
  <w:style w:type="character" w:customStyle="1" w:styleId="14">
    <w:name w:val="页脚 Char"/>
    <w:link w:val="4"/>
    <w:qFormat/>
    <w:uiPriority w:val="99"/>
    <w:rPr>
      <w:kern w:val="2"/>
      <w:sz w:val="18"/>
      <w:szCs w:val="18"/>
    </w:rPr>
  </w:style>
  <w:style w:type="character" w:customStyle="1" w:styleId="15">
    <w:name w:val="批注主题 Char"/>
    <w:link w:val="6"/>
    <w:semiHidden/>
    <w:qFormat/>
    <w:uiPriority w:val="99"/>
    <w:rPr>
      <w:b/>
      <w:bCs/>
      <w:kern w:val="2"/>
      <w:sz w:val="21"/>
      <w:szCs w:val="24"/>
    </w:rPr>
  </w:style>
  <w:style w:type="character" w:customStyle="1" w:styleId="16">
    <w:name w:val="批注框文本 Char"/>
    <w:link w:val="3"/>
    <w:semiHidden/>
    <w:qFormat/>
    <w:uiPriority w:val="99"/>
    <w:rPr>
      <w:kern w:val="2"/>
      <w:sz w:val="18"/>
      <w:szCs w:val="18"/>
    </w:rPr>
  </w:style>
  <w:style w:type="character" w:customStyle="1" w:styleId="17">
    <w:name w:val="批注文字 Char"/>
    <w:link w:val="2"/>
    <w:semiHidden/>
    <w:qFormat/>
    <w:uiPriority w:val="99"/>
    <w:rPr>
      <w:kern w:val="2"/>
      <w:sz w:val="21"/>
      <w:szCs w:val="24"/>
    </w:rPr>
  </w:style>
  <w:style w:type="paragraph" w:customStyle="1" w:styleId="18">
    <w:name w:val="列出段落1"/>
    <w:basedOn w:val="1"/>
    <w:qFormat/>
    <w:uiPriority w:val="34"/>
    <w:pPr>
      <w:ind w:firstLine="420" w:firstLineChars="200"/>
    </w:pPr>
    <w:rPr>
      <w:rFonts w:ascii="Calibri" w:hAnsi="Calibri"/>
      <w:szCs w:val="22"/>
    </w:rPr>
  </w:style>
  <w:style w:type="paragraph" w:customStyle="1" w:styleId="19">
    <w:name w:val="修订1"/>
    <w:hidden/>
    <w:unhideWhenUsed/>
    <w:qFormat/>
    <w:uiPriority w:val="99"/>
    <w:rPr>
      <w:rFonts w:ascii="仿宋_GB2312" w:hAnsi="仿宋" w:eastAsia="仿宋_GB2312" w:cs="方正仿宋简体"/>
      <w:kern w:val="2"/>
      <w:sz w:val="21"/>
      <w:szCs w:val="24"/>
      <w:lang w:val="en-US" w:eastAsia="zh-CN"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Legend (Beijing) Limited</Company>
  <Pages>2</Pages>
  <Words>178</Words>
  <Characters>1018</Characters>
  <Lines>8</Lines>
  <Paragraphs>2</Paragraphs>
  <TotalTime>88</TotalTime>
  <ScaleCrop>false</ScaleCrop>
  <LinksUpToDate>false</LinksUpToDate>
  <CharactersWithSpaces>1194</CharactersWithSpaces>
  <Application>WPS Office_11.1.0.10356_F1E327BC-269C-435d-A152-05C5408002CA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2021-03-24T06:53:00Z</dcterms:created>
  <dc:creator>Legend User</dc:creator>
  <cp:lastModifiedBy>dell</cp:lastModifiedBy>
  <cp:lastPrinted>2019-12-05T07:53:00Z</cp:lastPrinted>
  <dcterms:modified xsi:type="dcterms:W3CDTF">2021-04-01T02:05:31Z</dcterms:modified>
  <dc:title>××产品质量监督抽查实施细则</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KSOSaveFontToCloudKey">
    <vt:lpwstr>550453206_embed</vt:lpwstr>
  </property>
  <property fmtid="{D5CDD505-2E9C-101B-9397-08002B2CF9AE}" pid="4" name="ICV">
    <vt:lpwstr>C134AEEA625B45438C46E71307C1FD79</vt:lpwstr>
  </property>
</Properties>
</file>